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CQWM86GQ79TA0VHGQPR8DL007ZEMOSYR9J0XLJEIXGH8TE5TZ0BRDC0QFYYTP8RRBNM6COZGZIAD8MJJRSFADF8O8RM0WMWB8EOOQHB3859CC8F7A377C2093FCBC7F2984FA0D7" Type="http://schemas.microsoft.com/office/2006/relationships/officeDocumentMain" Target="NUL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4F8" w:rsidRDefault="00225758" w:rsidP="00F474F8">
      <w:pPr>
        <w:pStyle w:val="a3"/>
        <w:shd w:val="clear" w:color="auto" w:fill="FFFFFF"/>
        <w:spacing w:before="0" w:beforeAutospacing="0" w:after="0" w:afterAutospacing="0"/>
        <w:jc w:val="center"/>
        <w:rPr>
          <w:rFonts w:ascii="黑体" w:eastAsia="黑体" w:cs="Times New Roman"/>
          <w:kern w:val="2"/>
          <w:sz w:val="30"/>
          <w:szCs w:val="30"/>
        </w:rPr>
      </w:pPr>
      <w:r w:rsidRPr="00F474F8">
        <w:rPr>
          <w:rFonts w:ascii="黑体" w:eastAsia="黑体" w:cs="Times New Roman" w:hint="eastAsia"/>
          <w:kern w:val="2"/>
          <w:sz w:val="30"/>
          <w:szCs w:val="30"/>
        </w:rPr>
        <w:t>中华人民共和国证券法</w:t>
      </w:r>
    </w:p>
    <w:p w:rsidR="00225758" w:rsidRDefault="00225758" w:rsidP="00225758">
      <w:pPr>
        <w:pStyle w:val="a3"/>
        <w:shd w:val="clear" w:color="auto" w:fill="FFFFFF"/>
        <w:spacing w:before="0" w:beforeAutospacing="0" w:after="0" w:afterAutospacing="0"/>
        <w:ind w:firstLine="480"/>
        <w:rPr>
          <w:color w:val="333333"/>
        </w:rPr>
      </w:pPr>
      <w:r>
        <w:rPr>
          <w:rFonts w:hint="eastAsia"/>
          <w:b/>
          <w:bCs/>
          <w:color w:val="333333"/>
        </w:rPr>
        <w:t>第七章　证券交易场所</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第九十六条　证券交易所、国务院批准的其他全国性证券交易场所为证券集中交易提供场所和设施，组织和监督证券交易，实行自律管理，依法登记，取得法人资格。</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证券交易所、国务院批准的其他全国性证券交易场所的设立、变更和解散由国务院决定。</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国务院批准的其他全国性证券交易场所的组织机构、管理办法等，由国务院规定。</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第九十七条　证券交易所、国务院批准的其他全国性证券交易场所可以根据证券品种、行业特点、公司规模等因素设立不同的市场层次。</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第九十八条　按照国务院规定设立的区域性股权市场为非公开发行证券的发行、转让提供场所和设施，具体管理办法由国务院规定。</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第九十九条　证券交易所履行自律管理职能，应当遵守社会公共利益优先原则，维护市场的公平、有序、透明。</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设立证券交易所必须制定章程。证券交易所章程的制定和修改，必须经国务院证券监督管理机构批准。</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第一百条　证券交易所必须在其名称中标明证券交易所字样。其他任何单位或者个人不得使用证券交易所或者近似的名称。</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第一百零一条　证券交易所可以自行支配的各项费用收入，应当首先用于保证其证券交易场所和设施的正常运行并逐步改善。</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实行会员制的证券交易所的财产积累归会员所有，其权益由会员共同享有，在其存续期间，不得将其财产积累分配给会员。</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第一百零二条　实行会员制的证券交易所设理事会、监事会。</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证券交易所设总经理一人，由国务院证券监督管理机构任免。</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第一百零三条　有《中华人民共和国公司法》第一百四十六条规定的情形或者下列情形之一的，不得担任证券交易所的负责人：</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（一）因违法行为或者违纪行为被解除职务的证券交易场所、证券登记结算机构的负责人或者证券公司的董事、监事、高级管理人员，自被解除职务之日起未逾五年；</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lastRenderedPageBreak/>
        <w:t>（二）因违法行为或者违纪行为被吊销执业证书或者被取消资格的律师、注册会计师或者其他证券服务机构的专业人员，自被吊销执业证书或者被取消资格之日起未逾五年。</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第一百零四条　因违法行为或者违纪行为被开除的证券交易场所、证券公司、证券登记结算机构、证券服务机构的从业人员和被开除的国家机关工作人员，不得招聘为证券交易所的从业人员。</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第一百零五条　进入实行会员制的证券交易所参与集中交易的，必须是证券交易所的会员。证券交易所不得允许非会员直接参与股票的集中交易。</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第一百零六条　投资者应当与证券公司签订证券交易委托协议，并在证券公司实名开立账户，以书面、电话、自助终端、网络等方式，委托该证券公司代其买卖证券。</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第一百零七条　证券公司为投资者开立账户，应当按照规定对投资者提供的身份信息进行核对。</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证券公司不得将投资者的账户提供给他人使用。</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投资者应当使用实名开立的账户进行交易。</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第一百零八条　证券公司根据投资者的委托，按照证券交易规则提出交易申报，参与证券交易所场内的集中交易，并根据成交结果承担相应的清算交收责任。证券登记结算机构根据成交结果，按照清算交收规则，与证券公司进行证券和资金的清算交收，并为证券公司客户办理证券的登记过户手续。</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第一百零九条　证券交易所应当为组织公平的集中交易提供保障，实时公布证券交易即时行情，并按交易日制作证券市场行情表，予以公布。</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证券交易即时行情的权益由证券交易所依法享有。未经证券交易所许可，任何单位和个人不得发布证券交易即时行情。</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第一百一十条　上市公司可以向证券交易所申请其上市交易股票的停牌或者复牌，但不得滥用停牌或者复牌损害投资者的合法权益。</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证券交易所可以按照业务规则的规定，决定上市交易股票的停牌或者复牌。</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第一百一十一条　因不可抗力、意外事件、重大技术故障、重大人为差错等突发性事件而影响证券交易正常进行时，为维护证券交易正常秩序和市场公平，证券交易所可以按照业务规则采取技术性停牌、临时停市等处置措施，并应当及时向国务院证券监督管理机构报告。</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因前款规定的突发性事件导致证券交易结果出现重大异常，按交易结果进行交收将对证券交易正常秩序和市场公平造成重大影响的，证券交易所按照业务规则可以采取取消交易、通知证券登记结算机构暂缓交收等措施，并应当及时向国务院证券监督管理机构报告并公告。</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lastRenderedPageBreak/>
        <w:t>证券交易所对其依照本条规定采取措施造成的损失，不承担民事赔偿责任，但存在重大过错的除外。</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第一百一十二条　证券交易所对证券交易实行实时监控，并按照国务院证券监督管理机构的要求，对异常的交易情况提出报告。</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证券交易所根据需要，可以按照业务规则对出现重大异常交易情况的证券账户的投资者限制交易，并及时报告国务院证券监督管理机构。</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第一百一十三条　证券交易所应当加强对证券交易的风险监测，出现重大异常波动的，证券交易所可以按照业务规则采取限制交易、强制停牌等处置措施，并向国务院证券监督管理机构报告；严重影响证券市场稳定的，证券交易所可以按照业务规则采取临时停市等处置措施并公告。</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证券交易所对其依照本条规定采取措施造成的损失，不承担民事赔偿责任，但存在重大过错的除外。</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第一百一十四条　证券交易所应当从其收取的交易费用和会员费、席位费中提取一定比例的金额设立风险基金。风险基金由证券交易所理事会管理。</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风险基金提取的具体比例和使用办法，由国务院证券监督管理机构会同国务院财政部门规定。</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证券交易所应当将收存的风险基金存入开户银行专门账户，不得擅自使用。</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第一百一十五条　证券交易所依照法律、行政法规和国务院证券监督管理机构的规定，制定上市规则、交易规则、会员管理规则和其他有关业务规则，并报国务院证券监督管理机构批准。</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在证券交易所从事证券交易，应当遵守证券交易所依法制定的业务规则。违反业务规则的，由证券交易所给予纪律处分或者采取其他自律管理措施。</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第一百一十六条　证券交易所的负责人和其他从业人员执行与证券交易有关的职务时，与其本人或者其亲属有利害关系的，应当回避。</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第一百一十七条　按照依法制定的交易规则进行的交易，不得改变其交易结果，但本法第一百一十一条第二款规定的除外。对交易中违规交易者应负的民事责任不得免除；在违规交易中所获利益，依照有关规定处理。</w:t>
      </w:r>
    </w:p>
    <w:p w:rsidR="00225758" w:rsidRDefault="00225758" w:rsidP="00225758">
      <w:pPr>
        <w:pStyle w:val="a3"/>
        <w:shd w:val="clear" w:color="auto" w:fill="FFFFFF"/>
        <w:spacing w:before="0" w:beforeAutospacing="0" w:after="0" w:afterAutospacing="0"/>
        <w:ind w:firstLine="480"/>
        <w:rPr>
          <w:color w:val="333333"/>
        </w:rPr>
      </w:pPr>
      <w:r>
        <w:rPr>
          <w:rFonts w:hint="eastAsia"/>
          <w:b/>
          <w:bCs/>
          <w:color w:val="333333"/>
        </w:rPr>
        <w:t>第八章　证券公司</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第一百一十八条　设立证券公司，应当具备下列条件，并经国务院证券监督管理机构批准：</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（一）有符合法律、行政法规规定的公司章程；</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（二）主要股东及公司的实际控制人具有良好的财务状况和诚信记录，最近三年无重大违法违规记录；</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lastRenderedPageBreak/>
        <w:t>（三）有符合本法规定的公司注册资本；</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（四）董事、监事、高级管理人员、从业人员符合本法规定的条件；</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（五）有完善的风险管理与内部控制制度；</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（六）有合格的经营场所、业务设施和信息技术系统；</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（七）法律、行政法规和经国务院批准的国务院证券监督管理机构规定的其他条件。</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未经国务院证券监督管理机构批准，任何单位和个人不得以证券公司名义开展证券业务活动。</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第一百一十九条　国务院证券监督管理机构应当自受理证券公司设立申请之日起六个月内，依照法定条件和法定程序并根据审慎监管原则进行审查，作出批准或者不予批准的决定，并通知申请人；不予批准的，应当说明理由。</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证券公司设立申请获得批准的，申请人应当在规定的期限内向公司登记机关申请设立登记，领取营业执照。</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证券公司应当自领取营业执照之日起十五日内，向国务院证券监督管理机构申请经营证券业务许可证。未取得经营证券业务许可证，证券公司不得经营证券业务。</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第一百二十条　经国务院证券监督管理机构核准，取得经营证券业务许可证，证券公司可以经营下列部分或者全部证券业务：</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（一）证券经纪；</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（二）证券投资咨询；</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（三）与证券交易、证券投资活动有关的财务顾问；</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（四）证券承销与保荐；</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（五）证券融资融券；</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（六）证券做市交易；</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（七）证券自营；</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（八）其他证券业务。</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国务院证券监督管理机构应当自受理前款规定事项申请之日起三个月内，依照法定条件和程序进行审查，作出核准或者不予核准的决定，并通知申请人；不予核准的，应当说明理由。</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证券公司经营证券资产管理业务的，应当符合《中华人民共和国证券投资基金法》等法律、行政法规的规定。</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lastRenderedPageBreak/>
        <w:t>除证券公司外，任何单位和个人不得从事证券承销、证券保荐、证券经纪和证券融资融券业务。</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证券公司从事证券融资融券业务，应当采取措施，严格防范和控制风险，不得违反规定向客户出借资金或者证券。</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第一百二十一条　证券公司经营本法第一百二十条第一款第（一）项至第（三）项业务的，注册资本最低限额为人民币五千万元；经营第（四）项至第（八）项业务之一的，注册资本最低限额为人民币一亿元；经营第（四）项至第（八）项业务中两项以上的，注册资本最低限额为人民币五亿元。证券公司的注册资本应当是实缴资本。</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国务院证券监督管理机构根据审慎监管原则和各项业务的风险程度，可以调整注册资本最低限额，但不得少于前款规定的限额。</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第一百二十二条　证券公司变更证券业务范围，变更主要股东或者公司的实际控制人，合并、分立、停业、解散、破产，应当经国务院证券监督管理机构核准。</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第一百二十三条　国务院证券监督管理机构应当对证券公司净资本和其他风险控制指标作出规定。</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证券公司除依照规定为其客户提供融资融券外，不得为其股东或者股东的关联人提供融资或者担保。</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第一百二十四条　证券公司的董事、监事、高级管理人员，应当正直诚实、品行良好，熟悉证券法律、行政法规，具有履行职责所需的经营管理能力。证券公司任免董事、监事、高级管理人员，应当报国务院证券监督管理机构备案。</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有《中华人民共和国公司法》第一百四十六条规定的情形或者下列情形之一的，不得担任证券公司的董事、监事、高级管理人员：</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（一）因违法行为或者违纪行为被解除职务的证券交易场所、证券登记结算机构的负责人或者证券公司的董事、监事、高级管理人员，自被解除职务之日起未逾五年；</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（二）因违法行为或者违纪行为被吊销执业证书或者被取消资格的律师、注册会计师或者其他证券服务机构的专业人员，自被吊销执业证书或者被取消资格之日起未逾五年。</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第一百二十五条　证券公司从事证券业务的人员应当品行良好，具备从事证券业务所需的专业能力。</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因违法行为或者违纪行为被开除的证券交易场所、证券公司、证券登记结算机构、证券服务机构的从业人员和被开除的国家机关工作人员，不得招聘为证券公司的从业人员。</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lastRenderedPageBreak/>
        <w:t>国家机关工作人员和法律、行政法规规定的禁止在公司中兼职的其他人员，不得在证券公司中兼任职务。</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第一百二十六条　国家设立证券投资者保护基金。证券投资者保护基金由证券公司缴纳的资金及其他依法筹集的资金组成，其规模以及筹集、管理和使用的具体办法由国务院规定。</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第一百二十七条　证券公司从每年的业务收入中提取交易风险准备金，用于弥补证券经营的损失，其提取的具体比例由国务院证券监督管理机构会同国务院财政部门规定。</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第一百二十八条　证券公司应当建立健全内部控制制度，采取有效隔离措施，防范公司与客户之间、不同客户之间的利益冲突。</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证券公司必须将其证券经纪业务、证券承销业务、证券自营业务、证券做市业务和证券资产管理业务分开办理，不得混合操作。</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第一百二十九条　证券公司的自营业务必须以自己的名义进行，不得假借他人名义或者以个人名义进行。</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证券公司的自营业务必须使用自有资金和依法筹集的资金。</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证券公司不得将其自营账户借给他人使用。</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第一百三十条　证券公司应当依法审慎经营，勤勉尽责，诚实守信。</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证券公司的业务活动，应当与其治理结构、内部控制、合规管理、风险管理以及风险控制指标、从业人员构成等情况相适应，符合审慎监管和保护投资者合法权益的要求。</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证券公司依法享有自主经营的权利，其合法经营不受干涉。</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第一百三十一条　证券公司客户的交易结算资金应当存放在商业银行，以每个客户的名义单独立户管理。</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证券公司不得将客户的交易结算资金和证券归入其自有财产。禁止任何单位或者个人以任何形式挪用客户的交易结算资金和证券。证券公司破产或者清算时，客户的交易结算资金和证券不属于其破产财产或者清算财产。非因客户本身的债务或者法律规定的其他情形，不得查封、冻结、扣划或者强制执行客户的交易结算资金和证券。</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第一百三十二条　证券公司办理经纪业务，应当置备统一制定的证券买卖委托书，供委托人使用。采取其他委托方式的，必须作出委托记录。</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客户的证券买卖委托，不论是否成交，其委托记录应当按照规定的期限，保存于证券公司。</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lastRenderedPageBreak/>
        <w:t>第一百三十三条　证券公司接受证券买卖的委托，应当根据委托书载明的证券名称、买卖数量、出价方式、价格幅度等，按照交易规则代理买卖证券，如实进行交易记录；买卖成交后，应当按照规定制作买卖成交报告单交付客户。</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证券交易中确认交易行为及其交易结果的对账单必须真实，保证账面证券余额与实际持有的证券相一致。</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第一百三十四条　证券公司办理经纪业务，不得接受客户的全权委托而决定证券买卖、选择证券种类、决定买卖数量或者买卖价格。</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证券公司不得允许他人以证券公司的名义直接参与证券的集中交易。</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第一百三十五条　证券公司不得对客户证券买卖的收益或者赔偿证券买卖的损失作出承诺。</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第一百三十六条　证券公司的从业人员在证券交易活动中，执行所属的证券公司的指令或者利用职务违反交易规则的，由所属的证券公司承担全部责任。</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证券公司的从业人员不得私下接受客户委托买卖证券。</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第一百三十七条　证券公司应当建立客户信息查询制度，确保客户能够查询其账户信息、委托记录、交易记录以及其他与接受服务或者购买产品有关的重要信息。</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证券公司应当妥善保存客户开户资料、委托记录、交易记录和与内部管理、业务经营有关的各项信息，任何人不得隐匿、伪造、篡改或者毁损。上述信息的保存期限不得少于二十年。</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第一百三十八条　证券公司应当按照规定向国务院证券监督管理机构报送业务、财务等经营管理信息和资料。国务院证券监督管理机构有权要求证券公司及其主要股东、实际控制人在指定的期限内提供有关信息、资料。</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证券公司及其主要股东、实际控制人向国务院证券监督管理机构报送或者提供的信息、资料，必须真实、准确、完整。</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第一百三十九条　国务院证券监督管理机构认为有必要时，可以委托会计师事务所、资产评估机构对证券公司的财务状况、内部控制状况、资产价值进行审计或者评估。具体办法由国务院证券监督管理机构会同有关主管部门制定。</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第一百四十条　证券公司的治理结构、合规管理、风险控制指标不符合规定的，国务院证券监督管理机构应当责令其限期改正；逾期未改正，或者其行为严重危及该证券公司的稳健运行、损害客户合法权益的，国务院证券监督管理机构可以区别情形，对其采取下列措施：</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（一）限制业务活动，责令暂停部分业务，停止核准新业务；</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（二）限制分配红利，限制向董事、监事、高级管理人员支付报酬、提供福利；</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lastRenderedPageBreak/>
        <w:t>（三）限制转让财产或者在财产上设定其他权利；</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（四）责令更换董事、监事、高级管理人员或者限制其权利；</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（五）撤销有关业务许可；</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（六）认定负有责任的董事、监事、高级管理人员为不适当人选；</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（七）责令负有责任的股东转让股权，限制负有责任的股东行使股东权利。</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证券公司整改后，应当向国务院证券监督管理机构提交报告。国务院证券监督管理机构经验收，治理结构、合规管理、风险控制指标符合规定的，应当自验收完毕之日起三日内解除对其采取的前款规定的有关限制措施。</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第一百四十一条　证券公司的股东有虚假出资、抽逃出资行为的，国务院证券监督管理机构应当责令其限期改正，并可责令其转让所持证券公司的股权。</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在前款规定的股东按照要求改正违法行为、转让所持证券公司的股权前，国务院证券监督管理机构可以限制其股东权利。</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第一百四十二条　证券公司的董事、监事、高级管理人员未能勤勉尽责，致使证券公司存在重大违法违规行为或者重大风险的，国务院证券监督管理机构可以责令证券公司予以更换。</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第一百四十三条　证券公司违法经营或者出现重大风险，严重危害证券市场秩序、损害投资者利益的，国务院证券监督管理机构可以对该证券公司采取责令停业整顿、指定其他机构托管、接管或者撤销等监管措施。</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第一百四十四条　在证券公司被责令停业整顿、被依法指定托管、接管或者清算期间，或者出现重大风险时，经国务院证券监督管理机构批准，可以对该证券公司直接负责的董事、监事、高级管理人员和其他直接责任人员采取以下措施：</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（一）通知出境入境管理机关依法阻止其出境；</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（二）申请司法机关禁止其转移、转让或者以其他方式处分财产，或者在财产上设定其他权利。</w:t>
      </w:r>
    </w:p>
    <w:p w:rsidR="00225758" w:rsidRDefault="00225758" w:rsidP="00225758">
      <w:pPr>
        <w:pStyle w:val="a3"/>
        <w:shd w:val="clear" w:color="auto" w:fill="FFFFFF"/>
        <w:spacing w:before="0" w:beforeAutospacing="0" w:after="0" w:afterAutospacing="0"/>
        <w:ind w:firstLine="480"/>
        <w:rPr>
          <w:color w:val="333333"/>
        </w:rPr>
      </w:pPr>
      <w:r>
        <w:rPr>
          <w:rFonts w:hint="eastAsia"/>
          <w:b/>
          <w:bCs/>
          <w:color w:val="333333"/>
        </w:rPr>
        <w:t>第九章　证券登记结算机构</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第一百四十五条　证券登记结算机构为证券交易提供集中登记、存管与结算服务，不以营利为目的，依法登记，取得法人资格。</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设立证券登记结算机构必须经国务院证券监督管理机构批准。</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第一百四十六条　设立证券登记结算机构，应当具备下列条件：</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（一）自有资金不少于人民币二亿元；</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（二）具有证券登记、存管和结算服务所必须的场所和设施；</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lastRenderedPageBreak/>
        <w:t>（三）国务院证券监督管理机构规定的其他条件。</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证券登记结算机构的名称中应当标明证券登记结算字样。</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第一百四十七条　证券登记结算机构履行下列职能：</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（一）证券账户、结算账户的设立；</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（二）证券的存管和过户；</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（三）证券持有人名册登记；</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（四）证券交易的清算和交收；</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（五）受发行人的委托派发证券权益；</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（六）办理与上述业务有关的查询、信息服务；</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（七）国务院证券监督管理机构批准的其他业务。</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第一百四十八条　在证券交易所和国务院批准的其他全国性证券交易场所交易的证券的登记结算，应当采取全国集中统一的运营方式。</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前款规定以外的证券，其登记、结算可以委托证券登记结算机构或者其他依法从事证券登记、结算业务的机构办理。</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第一百四十九条　证券登记结算机构应当依法制定章程和业务规则，并经国务院证券监督管理机构批准。证券登记结算业务参与人应当遵守证券登记结算机构制定的业务规则。</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第一百五十条　在证券交易所或者国务院批准的其他全国性证券交易场所交易的证券，应当全部存管在证券登记结算机构。</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证券登记结算机构不得挪用客户的证券。</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第一百五十一条　证券登记结算机构应当向证券发行人提供证券持有人名册及有关资料。</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证券登记结算机构应当根据证券登记结算的结果，确认证券持有人持有证券的事实，提供证券持有人登记资料。</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证券登记结算机构应当保证证券持有人名册和登记过户记录真实、准确、完整，不得隐匿、伪造、篡改或者毁损。</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第一百五十二条　证券登记结算机构应当采取下列措施保证业务的正常进行：</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（一）具有必备的服务设备和完善的数据安全保护措施；</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（二）建立完善的业务、财务和安全防范等管理制度；</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lastRenderedPageBreak/>
        <w:t>（三）建立完善的风险管理系统。</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第一百五十三条　证券登记结算机构应当妥善保存登记、存管和结算的原始凭证及有关文件和资料。其保存期限不得少于二十年。</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第一百五十四条　证券登记结算机构应当设立证券结算风险基金，用于垫付或者弥补因违约交收、技术故障、操作失误、不可抗力造成的证券登记结算机构的损失。</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证券结算风险基金从证券登记结算机构的业务收入和收益中提取，并可以由结算参与人按照证券交易业务量的一定比例缴纳。</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证券结算风险基金的筹集、管理办法，由国务院证券监督管理机构会同国务院财政部门规定。</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第一百五十五条　证券结算风险基金应当存入指定银行的专门账户，实行专项管理。</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证券登记结算机构以证券结算风险基金赔偿后，应当向有关责任人追偿。</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第一百五十六条　证券登记结算机构申请解散，应当经国务院证券监督管理机构批准。</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第一百五十七条　投资者委托证券公司进行证券交易，应当通过证券公司申请在证券登记结算机构开立证券账户。证券登记结算机构应当按照规定为投资者开立证券账户。</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投资者申请开立账户，应当持有证明中华人民共和国公民、法人、合伙企业身份的合法证件。国家另有规定的除外。</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第一百五十八条　证券登记结算机构作为中央对手方提供证券结算服务的，是结算参与人共同的清算交收对手，进行净额结算，为证券交易提供集中履约保障。</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证券登记结算机构为证券交易提供净额结算服务时，应当要求结算参与人按照货银对付的原则，足额交付证券和资金，并提供交收担保。</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在交收完成之前，任何人不得动用用于交收的证券、资金和担保物。</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结算参与人未按时履行交收义务的，证券登记结算机构有权按照业务规则处理前款所述财产。</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第一百五十九条　证券登记结算机构按照业务规则收取的各类结算资金和证券，必须存放于专门的清算交收账户，只能按业务规则用于已成交的证券交易的清算交收，不得被强制执行。</w:t>
      </w:r>
    </w:p>
    <w:p w:rsidR="00392BAD" w:rsidRPr="00225758" w:rsidRDefault="00392BAD"/>
    <w:sectPr w:rsidR="00392BAD" w:rsidRPr="00225758" w:rsidSect="00B372FC">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5F4" w:rsidRDefault="00CB25F4" w:rsidP="00F474F8">
      <w:r>
        <w:separator/>
      </w:r>
    </w:p>
  </w:endnote>
  <w:endnote w:type="continuationSeparator" w:id="0">
    <w:p w:rsidR="00CB25F4" w:rsidRDefault="00CB25F4" w:rsidP="00F474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68462"/>
      <w:docPartObj>
        <w:docPartGallery w:val="Page Numbers (Bottom of Page)"/>
        <w:docPartUnique/>
      </w:docPartObj>
    </w:sdtPr>
    <w:sdtContent>
      <w:p w:rsidR="00075837" w:rsidRDefault="00D632FA">
        <w:pPr>
          <w:pStyle w:val="a5"/>
          <w:jc w:val="center"/>
        </w:pPr>
        <w:fldSimple w:instr=" PAGE   \* MERGEFORMAT ">
          <w:r w:rsidR="00B71233" w:rsidRPr="00B71233">
            <w:rPr>
              <w:noProof/>
              <w:lang w:val="zh-CN"/>
            </w:rPr>
            <w:t>1</w:t>
          </w:r>
        </w:fldSimple>
      </w:p>
    </w:sdtContent>
  </w:sdt>
  <w:p w:rsidR="00075837" w:rsidRDefault="0007583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5F4" w:rsidRDefault="00CB25F4" w:rsidP="00F474F8">
      <w:r>
        <w:separator/>
      </w:r>
    </w:p>
  </w:footnote>
  <w:footnote w:type="continuationSeparator" w:id="0">
    <w:p w:rsidR="00CB25F4" w:rsidRDefault="00CB25F4" w:rsidP="00F474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25758"/>
    <w:rsid w:val="00075837"/>
    <w:rsid w:val="00225758"/>
    <w:rsid w:val="00392BAD"/>
    <w:rsid w:val="007808D8"/>
    <w:rsid w:val="00B372FC"/>
    <w:rsid w:val="00B71233"/>
    <w:rsid w:val="00CB25F4"/>
    <w:rsid w:val="00D632FA"/>
    <w:rsid w:val="00F474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2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5758"/>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F474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474F8"/>
    <w:rPr>
      <w:sz w:val="18"/>
      <w:szCs w:val="18"/>
    </w:rPr>
  </w:style>
  <w:style w:type="paragraph" w:styleId="a5">
    <w:name w:val="footer"/>
    <w:basedOn w:val="a"/>
    <w:link w:val="Char0"/>
    <w:uiPriority w:val="99"/>
    <w:unhideWhenUsed/>
    <w:rsid w:val="00F474F8"/>
    <w:pPr>
      <w:tabs>
        <w:tab w:val="center" w:pos="4153"/>
        <w:tab w:val="right" w:pos="8306"/>
      </w:tabs>
      <w:snapToGrid w:val="0"/>
      <w:jc w:val="left"/>
    </w:pPr>
    <w:rPr>
      <w:sz w:val="18"/>
      <w:szCs w:val="18"/>
    </w:rPr>
  </w:style>
  <w:style w:type="character" w:customStyle="1" w:styleId="Char0">
    <w:name w:val="页脚 Char"/>
    <w:basedOn w:val="a0"/>
    <w:link w:val="a5"/>
    <w:uiPriority w:val="99"/>
    <w:rsid w:val="00F474F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5758"/>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F474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474F8"/>
    <w:rPr>
      <w:sz w:val="18"/>
      <w:szCs w:val="18"/>
    </w:rPr>
  </w:style>
  <w:style w:type="paragraph" w:styleId="a5">
    <w:name w:val="footer"/>
    <w:basedOn w:val="a"/>
    <w:link w:val="Char0"/>
    <w:uiPriority w:val="99"/>
    <w:unhideWhenUsed/>
    <w:rsid w:val="00F474F8"/>
    <w:pPr>
      <w:tabs>
        <w:tab w:val="center" w:pos="4153"/>
        <w:tab w:val="right" w:pos="8306"/>
      </w:tabs>
      <w:snapToGrid w:val="0"/>
      <w:jc w:val="left"/>
    </w:pPr>
    <w:rPr>
      <w:sz w:val="18"/>
      <w:szCs w:val="18"/>
    </w:rPr>
  </w:style>
  <w:style w:type="character" w:customStyle="1" w:styleId="Char0">
    <w:name w:val="页脚 Char"/>
    <w:basedOn w:val="a0"/>
    <w:link w:val="a5"/>
    <w:uiPriority w:val="99"/>
    <w:rsid w:val="00F474F8"/>
    <w:rPr>
      <w:sz w:val="18"/>
      <w:szCs w:val="18"/>
    </w:rPr>
  </w:style>
</w:styles>
</file>

<file path=word/webSettings.xml><?xml version="1.0" encoding="utf-8"?>
<w:webSettings xmlns:r="http://schemas.openxmlformats.org/officeDocument/2006/relationships" xmlns:w="http://schemas.openxmlformats.org/wordprocessingml/2006/main">
  <w:divs>
    <w:div w:id="205850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1239</Words>
  <Characters>7068</Characters>
  <Application>Microsoft Office Word</Application>
  <DocSecurity>0</DocSecurity>
  <Lines>58</Lines>
  <Paragraphs>16</Paragraphs>
  <ScaleCrop>false</ScaleCrop>
  <Company>P R C</Company>
  <LinksUpToDate>false</LinksUpToDate>
  <CharactersWithSpaces>8291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gzzhao</dc:creator>
  <cp:lastModifiedBy>Administrator</cp:lastModifiedBy>
  <cp:revision>4</cp:revision>
  <dcterms:created xsi:type="dcterms:W3CDTF">2020-03-05T02:18:00Z</dcterms:created>
  <dcterms:modified xsi:type="dcterms:W3CDTF">2020-03-20T04:49:00Z</dcterms:modified>
</cp:coreProperties>
</file>